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898" w:rsidRDefault="002F3898" w:rsidP="002F3898">
      <w:pPr>
        <w:pStyle w:val="Heading3"/>
      </w:pPr>
      <w:r>
        <w:t>Academic Overview: “Development Implications of Digital Economies” Strategic Research Network</w:t>
      </w:r>
    </w:p>
    <w:p w:rsidR="002F3898" w:rsidRPr="002F3898" w:rsidRDefault="002F3898" w:rsidP="002F3898"/>
    <w:p w:rsidR="002F3898" w:rsidRPr="00B23C35" w:rsidRDefault="002F3898" w:rsidP="002F3898">
      <w:pPr>
        <w:pStyle w:val="Heading4"/>
      </w:pPr>
      <w:r>
        <w:t>Overview</w:t>
      </w:r>
    </w:p>
    <w:p w:rsidR="002F3898" w:rsidRPr="002F3898" w:rsidRDefault="002F3898" w:rsidP="002F3898">
      <w:r w:rsidRPr="002F3898">
        <w:t xml:space="preserve">The digital economy – that part of economic output derived solely or primarily from digital technologies – is growing rapidly in developing countries. </w:t>
      </w:r>
      <w:r>
        <w:t xml:space="preserve"> </w:t>
      </w:r>
      <w:r w:rsidRPr="002F3898">
        <w:t xml:space="preserve">Already involving hundreds of thousands of enterprises and millions of workers, constant innovation means ever-more opportunities, but also challenges, in future. </w:t>
      </w:r>
      <w:r>
        <w:t xml:space="preserve"> </w:t>
      </w:r>
      <w:r w:rsidRPr="002F3898">
        <w:t xml:space="preserve">Yet digital economy research and policy advice is predominantly focused on high-income countries. </w:t>
      </w:r>
      <w:r>
        <w:t xml:space="preserve"> </w:t>
      </w:r>
      <w:r w:rsidRPr="002F3898">
        <w:t xml:space="preserve">We know very little about implications for low- and middle-income countries in the global South, at the level of government, firms and workers. </w:t>
      </w:r>
      <w:r>
        <w:t xml:space="preserve"> </w:t>
      </w:r>
      <w:r w:rsidRPr="002F3898">
        <w:t>It is these knowledge gaps that the “Development Implications Of Digital Economies” (DIODE) Research Network seeks to fill.</w:t>
      </w:r>
    </w:p>
    <w:p w:rsidR="002F3898" w:rsidRPr="002F3898" w:rsidRDefault="002F3898" w:rsidP="002F3898"/>
    <w:p w:rsidR="002F3898" w:rsidRPr="002F3898" w:rsidRDefault="002F3898" w:rsidP="002F3898">
      <w:r w:rsidRPr="002F3898">
        <w:t>The notion of digital economy itself is fractured and complex – we prefer the idea of multiple, overlapping “digital economies” – with a series of imbricated phases: from the digital enterprises of the ICT sector through digital labour from the Web 2.0 era, and emergence of digital work and digital platforms which are extending to become quasi-enclosed digital economies such as those operated by Upwork, Uber and Airbnb (Heeks 2014; Gregory 2016; Graham et al forthcoming)</w:t>
      </w:r>
      <w:r>
        <w:t xml:space="preserve">.  </w:t>
      </w:r>
      <w:r w:rsidRPr="002F3898">
        <w:t>Together with trends of digital fabrication and trade, these sit within multi-layer digital ecosystems in constant motion due to innovation: from mobile and internet through social media, big data and 3D-printing to the internet of things and robotics (OECD 2015).</w:t>
      </w:r>
    </w:p>
    <w:p w:rsidR="002F3898" w:rsidRPr="002F3898" w:rsidRDefault="002F3898" w:rsidP="002F3898"/>
    <w:p w:rsidR="002F3898" w:rsidRPr="002F3898" w:rsidRDefault="002F3898" w:rsidP="002F3898">
      <w:r w:rsidRPr="002F3898">
        <w:t>There has been great optimism about the potential of these digital economy trends in the global South, to increase efficiency, to increase income and wages, to expand employment opportunities (Hanna 2010; World Bank 2015)</w:t>
      </w:r>
      <w:r>
        <w:t xml:space="preserve">.  </w:t>
      </w:r>
      <w:r w:rsidRPr="002F3898">
        <w:t>Yet these digital economies will not only face traditional “information and communication technology for development (ICT4D)” challenges (e.g. human, technical and institutional infrastructure) but also generate new challenges of their own (Heeks 2014; World Bank 2016)</w:t>
      </w:r>
      <w:r>
        <w:t xml:space="preserve">.  </w:t>
      </w:r>
      <w:r w:rsidRPr="002F3898">
        <w:t>Unless developing countries are armed with effective knowledge about the emerging digital economies, they will be unable to harness them in service of development goals.</w:t>
      </w:r>
    </w:p>
    <w:p w:rsidR="002F3898" w:rsidRPr="002F3898" w:rsidRDefault="002F3898" w:rsidP="002F3898"/>
    <w:p w:rsidR="002F3898" w:rsidRPr="00B23C35" w:rsidRDefault="002F3898" w:rsidP="002F3898">
      <w:pPr>
        <w:outlineLvl w:val="0"/>
        <w:rPr>
          <w:b/>
          <w:szCs w:val="22"/>
        </w:rPr>
      </w:pPr>
      <w:r>
        <w:rPr>
          <w:b/>
          <w:szCs w:val="22"/>
        </w:rPr>
        <w:t>Knowledge Gaps</w:t>
      </w:r>
    </w:p>
    <w:p w:rsidR="002F3898" w:rsidRPr="00B66153" w:rsidRDefault="002F3898" w:rsidP="002F3898">
      <w:pPr>
        <w:rPr>
          <w:szCs w:val="22"/>
        </w:rPr>
      </w:pPr>
      <w:r>
        <w:rPr>
          <w:szCs w:val="22"/>
        </w:rPr>
        <w:t>Knowledge gaps that need to be addressed include</w:t>
      </w:r>
      <w:r w:rsidRPr="00B66153">
        <w:rPr>
          <w:szCs w:val="22"/>
        </w:rPr>
        <w:t>:</w:t>
      </w:r>
    </w:p>
    <w:p w:rsidR="002F3898" w:rsidRPr="00B66153" w:rsidRDefault="002F3898" w:rsidP="002F3898">
      <w:pPr>
        <w:pStyle w:val="ListParagraph"/>
        <w:numPr>
          <w:ilvl w:val="0"/>
          <w:numId w:val="1"/>
        </w:numPr>
      </w:pPr>
      <w:r w:rsidRPr="00B23C35">
        <w:rPr>
          <w:b/>
          <w:i/>
        </w:rPr>
        <w:t>Mapping</w:t>
      </w:r>
      <w:r w:rsidRPr="00B66153">
        <w:t>: the rapid emergence of digital economies has left significant gaps in understanding of the phenomenon globally, but especially in the global South because the vast majority of mapping has been focused on the global North.</w:t>
      </w:r>
    </w:p>
    <w:p w:rsidR="002F3898" w:rsidRPr="00B66153" w:rsidRDefault="002F3898" w:rsidP="002F3898">
      <w:pPr>
        <w:pStyle w:val="ListParagraph"/>
        <w:numPr>
          <w:ilvl w:val="0"/>
          <w:numId w:val="1"/>
        </w:numPr>
      </w:pPr>
      <w:r w:rsidRPr="00B23C35">
        <w:rPr>
          <w:b/>
          <w:i/>
        </w:rPr>
        <w:t>Issues</w:t>
      </w:r>
      <w:r w:rsidRPr="00B66153">
        <w:t>: while digital economies have triggered a set of research, very little of it has covered issues of key importance to developing countries</w:t>
      </w:r>
      <w:r>
        <w:t xml:space="preserve">.  </w:t>
      </w:r>
      <w:r w:rsidRPr="00B66153">
        <w:t xml:space="preserve">There has thus been a very limited recognition or focus on development-specific issues; e.g. that informalised, deinstitutionalised, precarious digital livelihoods hold different meanings and values for </w:t>
      </w:r>
      <w:r>
        <w:t xml:space="preserve">entrepreneurs and </w:t>
      </w:r>
      <w:r w:rsidRPr="00B66153">
        <w:t>workers in the global South for whom informalised, deinstitutionalised, precarious livelihoods are the norm (Nandi 2014</w:t>
      </w:r>
      <w:r>
        <w:t>; Heeks forthcoming</w:t>
      </w:r>
      <w:r w:rsidRPr="00B66153">
        <w:t>)</w:t>
      </w:r>
      <w:r>
        <w:t xml:space="preserve">.  </w:t>
      </w:r>
      <w:r w:rsidRPr="00B66153">
        <w:t xml:space="preserve">There are opportunities for reduced inequalities: global convergence of digital labour tending to produce lower incomes in the global North but higher incomes in the global South (Beerepoot &amp; Lambregts 2015); new </w:t>
      </w:r>
      <w:r>
        <w:t xml:space="preserve">and unique </w:t>
      </w:r>
      <w:r w:rsidRPr="00B66153">
        <w:t xml:space="preserve">markets </w:t>
      </w:r>
      <w:r>
        <w:t xml:space="preserve">existing </w:t>
      </w:r>
      <w:r w:rsidRPr="00B66153">
        <w:t>for developing country digital startups (Quinones et al 2015); the potential for digital platforms in the global South to provide an escape route from ineffective, corrupt market and labour institutions (Lehdonvirta 2016)</w:t>
      </w:r>
      <w:r>
        <w:t xml:space="preserve">.  </w:t>
      </w:r>
      <w:r w:rsidRPr="00B66153">
        <w:t xml:space="preserve">But </w:t>
      </w:r>
      <w:r>
        <w:t xml:space="preserve">there is </w:t>
      </w:r>
      <w:r w:rsidRPr="00B66153">
        <w:t xml:space="preserve">also potential for increased inequality: adverse incorporation into digital economies due to liminality (lack of resources, capabilities, institutions, relations) (Murphy &amp; Carmody 2015); </w:t>
      </w:r>
      <w:r>
        <w:t xml:space="preserve">specific volatility of developing country digital enterprises (Foster &amp; Heeks 2010); </w:t>
      </w:r>
      <w:r w:rsidRPr="00B66153">
        <w:t>marginalisation of developing country workers within reinstitutionalisations of digital labour currently driven from and for the global North (Martin 2016); etc.</w:t>
      </w:r>
    </w:p>
    <w:p w:rsidR="002F3898" w:rsidRPr="00B66153" w:rsidRDefault="002F3898" w:rsidP="002F3898">
      <w:pPr>
        <w:pStyle w:val="ListParagraph"/>
        <w:numPr>
          <w:ilvl w:val="0"/>
          <w:numId w:val="1"/>
        </w:numPr>
      </w:pPr>
      <w:r w:rsidRPr="00B23C35">
        <w:rPr>
          <w:b/>
          <w:i/>
        </w:rPr>
        <w:lastRenderedPageBreak/>
        <w:t>Policy/Practice</w:t>
      </w:r>
      <w:r w:rsidRPr="00B66153">
        <w:t xml:space="preserve">: a main narrative has been the capture of digital economies by transnational capital that is best able to benefit from trends of virtualisation, datafication, etc, with guidance needed to enable parts of this </w:t>
      </w:r>
      <w:r w:rsidRPr="00B54D4C">
        <w:rPr>
          <w:i/>
        </w:rPr>
        <w:t>terra nova</w:t>
      </w:r>
      <w:r w:rsidRPr="00B66153">
        <w:t xml:space="preserve"> to be reclaimed by development agencies, the state, businesses on the digital periphery, civil society and labour</w:t>
      </w:r>
      <w:r>
        <w:t xml:space="preserve"> (Scholz 2013; Fisher &amp; Fuchs 2015).  </w:t>
      </w:r>
      <w:r w:rsidRPr="00B66153">
        <w:t>Alongside international and national policies to effectively harness digital economies for development, civil society and labour need guidance on strategies for the reinstitutionalisation of digital economies, developing country businesses need context-specific start</w:t>
      </w:r>
      <w:r>
        <w:t>-</w:t>
      </w:r>
      <w:r w:rsidRPr="00B66153">
        <w:t>up strategies and business models, and social enterprises need examples of digital alternatives.</w:t>
      </w:r>
    </w:p>
    <w:p w:rsidR="002F3898" w:rsidRPr="00B66153" w:rsidRDefault="002F3898" w:rsidP="002F3898">
      <w:pPr>
        <w:pStyle w:val="ListParagraph"/>
        <w:numPr>
          <w:ilvl w:val="0"/>
          <w:numId w:val="1"/>
        </w:numPr>
      </w:pPr>
      <w:r w:rsidRPr="00B23C35">
        <w:rPr>
          <w:b/>
          <w:i/>
        </w:rPr>
        <w:t>Theory</w:t>
      </w:r>
      <w:r w:rsidRPr="00B66153">
        <w:t>: digital economy theories in general remain a work in progress but there are particular development-related theory gaps</w:t>
      </w:r>
      <w:r>
        <w:t xml:space="preserve"> (Castells &amp; Himanen 2014).  </w:t>
      </w:r>
      <w:r w:rsidRPr="00B66153">
        <w:t>Digital economy theories have almost entirely been produced with the global North in mind, and need further development if key DAC-country contexts are to be incorporated: development goals (transformation, inclusion, sustainability); institutions of development (formal and informal); marginality in digital networks; as well as intersection with key development theories</w:t>
      </w:r>
      <w:r>
        <w:t xml:space="preserve">.  </w:t>
      </w:r>
      <w:r w:rsidRPr="00B66153">
        <w:t>DIODE’s theoretical focus will not be prescribed but we will encourage and develop work particularly on livelihoods/capabilities; business models and value chai</w:t>
      </w:r>
      <w:r>
        <w:t xml:space="preserve">ns; global production networks and </w:t>
      </w:r>
      <w:r w:rsidRPr="00B66153">
        <w:t>cyber-geographies; institutionalism including</w:t>
      </w:r>
      <w:r>
        <w:t xml:space="preserve"> political institutionalism and</w:t>
      </w:r>
      <w:r w:rsidRPr="00B66153">
        <w:t xml:space="preserve"> institutional logics.</w:t>
      </w:r>
    </w:p>
    <w:p w:rsidR="002F3898" w:rsidRPr="00B66153" w:rsidRDefault="002F3898" w:rsidP="002F3898">
      <w:pPr>
        <w:pStyle w:val="ListParagraph"/>
        <w:numPr>
          <w:ilvl w:val="0"/>
          <w:numId w:val="1"/>
        </w:numPr>
      </w:pPr>
      <w:r w:rsidRPr="00B23C35">
        <w:rPr>
          <w:b/>
          <w:i/>
        </w:rPr>
        <w:t>Methods</w:t>
      </w:r>
      <w:r w:rsidRPr="00B66153">
        <w:t>: new research methods are needed to reflect and take advantage of digitality ranging from opportunities to interact online and analyse data trails to the methodological and ethical challenges of finding and analysing stakeholders who may be hidden within closed digital platforms</w:t>
      </w:r>
      <w:r>
        <w:t xml:space="preserve"> (Rogers 2013)</w:t>
      </w:r>
      <w:r w:rsidRPr="00B66153">
        <w:t>.</w:t>
      </w:r>
    </w:p>
    <w:p w:rsidR="002F3898" w:rsidRPr="00B66153" w:rsidRDefault="002F3898" w:rsidP="002F3898">
      <w:pPr>
        <w:pStyle w:val="ListParagraph"/>
        <w:numPr>
          <w:ilvl w:val="0"/>
          <w:numId w:val="1"/>
        </w:numPr>
      </w:pPr>
      <w:r w:rsidRPr="00B23C35">
        <w:rPr>
          <w:b/>
          <w:i/>
        </w:rPr>
        <w:t>Capacity</w:t>
      </w:r>
      <w:r w:rsidRPr="00B66153">
        <w:t>: very little DAC</w:t>
      </w:r>
      <w:r>
        <w:t>-</w:t>
      </w:r>
      <w:r w:rsidRPr="00B66153">
        <w:t>country research capacity exists on this fast-emerging phenomenon, with main past focus having been broader policy issues or specific ICT4D applications</w:t>
      </w:r>
      <w:r>
        <w:t xml:space="preserve">.  </w:t>
      </w:r>
      <w:r w:rsidRPr="00B66153">
        <w:t>This lack of capacity is hampering both understanding and guidance.</w:t>
      </w:r>
    </w:p>
    <w:p w:rsidR="002F3898" w:rsidRDefault="002F3898" w:rsidP="002F3898">
      <w:pPr>
        <w:rPr>
          <w:szCs w:val="22"/>
        </w:rPr>
      </w:pPr>
    </w:p>
    <w:p w:rsidR="002F3898" w:rsidRPr="00B23C35" w:rsidRDefault="002F3898" w:rsidP="002F3898">
      <w:pPr>
        <w:outlineLvl w:val="0"/>
        <w:rPr>
          <w:b/>
          <w:szCs w:val="22"/>
        </w:rPr>
      </w:pPr>
      <w:r>
        <w:rPr>
          <w:b/>
          <w:szCs w:val="22"/>
        </w:rPr>
        <w:t>Network Aim and Objectives</w:t>
      </w:r>
    </w:p>
    <w:p w:rsidR="002F3898" w:rsidRPr="00B66153" w:rsidRDefault="002F3898" w:rsidP="002F3898">
      <w:pPr>
        <w:rPr>
          <w:szCs w:val="22"/>
        </w:rPr>
      </w:pPr>
      <w:r w:rsidRPr="00B66153">
        <w:rPr>
          <w:szCs w:val="22"/>
        </w:rPr>
        <w:t>In view of this, the DIODE Research Network, aims to identify and build capacity on a prioritised research agenda on digital economies and developing countries</w:t>
      </w:r>
      <w:r>
        <w:rPr>
          <w:szCs w:val="22"/>
        </w:rPr>
        <w:t xml:space="preserve">.  </w:t>
      </w:r>
      <w:r w:rsidRPr="00B66153">
        <w:rPr>
          <w:szCs w:val="22"/>
        </w:rPr>
        <w:t>It has three objectives:</w:t>
      </w:r>
    </w:p>
    <w:p w:rsidR="002F3898" w:rsidRPr="00B66153" w:rsidRDefault="002F3898" w:rsidP="002F3898">
      <w:pPr>
        <w:pStyle w:val="ListParagraph"/>
        <w:numPr>
          <w:ilvl w:val="0"/>
          <w:numId w:val="2"/>
        </w:numPr>
        <w:rPr>
          <w:szCs w:val="22"/>
        </w:rPr>
      </w:pPr>
      <w:r w:rsidRPr="00B23C35">
        <w:rPr>
          <w:b/>
          <w:i/>
          <w:szCs w:val="22"/>
        </w:rPr>
        <w:t>Research Priorities</w:t>
      </w:r>
      <w:r w:rsidRPr="00B66153">
        <w:rPr>
          <w:szCs w:val="22"/>
        </w:rPr>
        <w:t>: to assess the current state-of-play and identify a future research agenda around four knowledge gaps:</w:t>
      </w:r>
    </w:p>
    <w:p w:rsidR="002F3898" w:rsidRPr="00B66153" w:rsidRDefault="002F3898" w:rsidP="002F3898">
      <w:pPr>
        <w:ind w:left="360"/>
        <w:rPr>
          <w:szCs w:val="22"/>
        </w:rPr>
      </w:pPr>
      <w:r w:rsidRPr="00B66153">
        <w:rPr>
          <w:szCs w:val="22"/>
        </w:rPr>
        <w:t>A1. Mapping: categorising the main digital economy technologies, trends and models of relevance to developing countries in the medium-term.</w:t>
      </w:r>
    </w:p>
    <w:p w:rsidR="002F3898" w:rsidRPr="00B66153" w:rsidRDefault="002F3898" w:rsidP="002F3898">
      <w:pPr>
        <w:ind w:left="360"/>
        <w:rPr>
          <w:szCs w:val="22"/>
        </w:rPr>
      </w:pPr>
      <w:r w:rsidRPr="00B66153">
        <w:rPr>
          <w:szCs w:val="22"/>
        </w:rPr>
        <w:t xml:space="preserve">A2. Issues: determining the key </w:t>
      </w:r>
      <w:r>
        <w:rPr>
          <w:szCs w:val="22"/>
        </w:rPr>
        <w:t xml:space="preserve">GCRF-relevant </w:t>
      </w:r>
      <w:r w:rsidRPr="00B66153">
        <w:rPr>
          <w:szCs w:val="22"/>
        </w:rPr>
        <w:t>development issues arising from growth of digital economies; particularly innovation (product, process, system), growth (value, livelihoods, capabilities), and inequality (the new digital dynamics of economic and structural inequality).</w:t>
      </w:r>
    </w:p>
    <w:p w:rsidR="002F3898" w:rsidRPr="00B66153" w:rsidRDefault="002F3898" w:rsidP="002F3898">
      <w:pPr>
        <w:ind w:left="360"/>
        <w:rPr>
          <w:szCs w:val="22"/>
        </w:rPr>
      </w:pPr>
      <w:r w:rsidRPr="00B66153">
        <w:rPr>
          <w:szCs w:val="22"/>
        </w:rPr>
        <w:t>A3. Policy/Practice: identifying the policy and practice requirements to maximise developmental value from digital economies.</w:t>
      </w:r>
    </w:p>
    <w:p w:rsidR="002F3898" w:rsidRPr="00B66153" w:rsidRDefault="002F3898" w:rsidP="002F3898">
      <w:pPr>
        <w:ind w:left="360"/>
        <w:rPr>
          <w:szCs w:val="22"/>
        </w:rPr>
      </w:pPr>
      <w:r w:rsidRPr="00B66153">
        <w:rPr>
          <w:szCs w:val="22"/>
        </w:rPr>
        <w:t>A4. Theory/Methods: extending and intersecting current digital economy theory and development theory to enable analysis; determining appropriate research methods for analysis of digital eco</w:t>
      </w:r>
      <w:r>
        <w:rPr>
          <w:szCs w:val="22"/>
        </w:rPr>
        <w:t>nomies in developing countries.</w:t>
      </w:r>
    </w:p>
    <w:p w:rsidR="002F3898" w:rsidRPr="00B66153" w:rsidRDefault="002F3898" w:rsidP="002F3898">
      <w:pPr>
        <w:ind w:left="360"/>
        <w:rPr>
          <w:szCs w:val="22"/>
        </w:rPr>
      </w:pPr>
      <w:r>
        <w:rPr>
          <w:szCs w:val="22"/>
        </w:rPr>
        <w:t xml:space="preserve">- </w:t>
      </w:r>
      <w:r w:rsidRPr="00B66153">
        <w:rPr>
          <w:szCs w:val="22"/>
        </w:rPr>
        <w:t>As well as working papers and journal articles published during and after the funding period, this would culminate in a final Research Report (A5) and policy/practice Strategy Brief (A6).</w:t>
      </w:r>
    </w:p>
    <w:p w:rsidR="002F3898" w:rsidRPr="00B66153" w:rsidRDefault="002F3898" w:rsidP="002F3898">
      <w:pPr>
        <w:pStyle w:val="ListParagraph"/>
        <w:numPr>
          <w:ilvl w:val="0"/>
          <w:numId w:val="2"/>
        </w:numPr>
        <w:rPr>
          <w:szCs w:val="22"/>
        </w:rPr>
      </w:pPr>
      <w:r w:rsidRPr="00B23C35">
        <w:rPr>
          <w:b/>
          <w:i/>
          <w:szCs w:val="22"/>
        </w:rPr>
        <w:t>Research Capacity</w:t>
      </w:r>
      <w:r w:rsidRPr="00B66153">
        <w:rPr>
          <w:szCs w:val="22"/>
        </w:rPr>
        <w:t>: to create a research network capable of implementing this research agenda on digital economies and development.</w:t>
      </w:r>
    </w:p>
    <w:p w:rsidR="002F3898" w:rsidRPr="00B66153" w:rsidRDefault="002F3898" w:rsidP="002F3898">
      <w:pPr>
        <w:pStyle w:val="ListParagraph"/>
        <w:numPr>
          <w:ilvl w:val="0"/>
          <w:numId w:val="2"/>
        </w:numPr>
        <w:rPr>
          <w:szCs w:val="22"/>
        </w:rPr>
      </w:pPr>
      <w:r w:rsidRPr="00B23C35">
        <w:rPr>
          <w:b/>
          <w:i/>
          <w:szCs w:val="22"/>
        </w:rPr>
        <w:t>Research Proposals</w:t>
      </w:r>
      <w:r w:rsidRPr="00B66153">
        <w:rPr>
          <w:szCs w:val="22"/>
        </w:rPr>
        <w:t>: to develop specific research proposals that address identified research priorities.</w:t>
      </w:r>
    </w:p>
    <w:p w:rsidR="002F3898" w:rsidRDefault="002F3898" w:rsidP="002F3898">
      <w:pPr>
        <w:rPr>
          <w:szCs w:val="22"/>
        </w:rPr>
      </w:pPr>
    </w:p>
    <w:p w:rsidR="002F3898" w:rsidRDefault="002F3898">
      <w:pPr>
        <w:spacing w:after="200" w:line="276" w:lineRule="auto"/>
        <w:rPr>
          <w:rFonts w:ascii="Calibri" w:eastAsiaTheme="majorEastAsia" w:hAnsi="Calibri" w:cstheme="majorBidi"/>
          <w:b/>
          <w:bCs/>
          <w:iCs/>
        </w:rPr>
      </w:pPr>
      <w:r>
        <w:br w:type="page"/>
      </w:r>
    </w:p>
    <w:p w:rsidR="007E32D8" w:rsidRDefault="002F3898" w:rsidP="002F3898">
      <w:pPr>
        <w:pStyle w:val="Heading4"/>
      </w:pPr>
      <w:r>
        <w:t>Bibliography</w:t>
      </w:r>
    </w:p>
    <w:p w:rsidR="002F3898" w:rsidRPr="002F3898" w:rsidRDefault="002F3898" w:rsidP="002F3898"/>
    <w:p w:rsidR="002F3898" w:rsidRDefault="002F3898" w:rsidP="002F3898">
      <w:pPr>
        <w:spacing w:after="180"/>
        <w:rPr>
          <w:szCs w:val="22"/>
        </w:rPr>
      </w:pPr>
      <w:r w:rsidRPr="002F3898">
        <w:rPr>
          <w:szCs w:val="22"/>
        </w:rPr>
        <w:t xml:space="preserve">Beerepoot, N. &amp; Lambregts, B. (2015) Competition in online job marketplaces: towards a global labour market for outsourcing services?, </w:t>
      </w:r>
      <w:r w:rsidRPr="002F3898">
        <w:rPr>
          <w:i/>
          <w:szCs w:val="22"/>
        </w:rPr>
        <w:t>Global Networks</w:t>
      </w:r>
      <w:r w:rsidRPr="002F3898">
        <w:rPr>
          <w:szCs w:val="22"/>
        </w:rPr>
        <w:t>, 15(2), 236-255</w:t>
      </w:r>
    </w:p>
    <w:p w:rsidR="002F3898" w:rsidRDefault="002F3898" w:rsidP="002F3898">
      <w:pPr>
        <w:spacing w:after="180"/>
        <w:rPr>
          <w:szCs w:val="22"/>
        </w:rPr>
      </w:pPr>
      <w:r w:rsidRPr="002F3898">
        <w:rPr>
          <w:szCs w:val="22"/>
        </w:rPr>
        <w:t xml:space="preserve">Castells, M. &amp; Himanen, P. (eds) (2014) </w:t>
      </w:r>
      <w:r w:rsidRPr="002F3898">
        <w:rPr>
          <w:i/>
          <w:szCs w:val="22"/>
        </w:rPr>
        <w:t>Reconceptualizing Development in the Global Information Age</w:t>
      </w:r>
      <w:r w:rsidRPr="002F3898">
        <w:rPr>
          <w:szCs w:val="22"/>
        </w:rPr>
        <w:t>, Oxford University Press, Oxford, UK</w:t>
      </w:r>
    </w:p>
    <w:p w:rsidR="002F3898" w:rsidRDefault="002F3898" w:rsidP="002F3898">
      <w:pPr>
        <w:spacing w:after="180"/>
        <w:rPr>
          <w:szCs w:val="22"/>
        </w:rPr>
      </w:pPr>
      <w:r w:rsidRPr="002F3898">
        <w:rPr>
          <w:szCs w:val="22"/>
        </w:rPr>
        <w:t xml:space="preserve">Fisher, E. &amp; Fuchs, C. (eds) (2015) </w:t>
      </w:r>
      <w:r w:rsidRPr="002F3898">
        <w:rPr>
          <w:i/>
          <w:szCs w:val="22"/>
        </w:rPr>
        <w:t>Reconsidering Value and Labour in the Digital Age</w:t>
      </w:r>
      <w:r w:rsidRPr="002F3898">
        <w:rPr>
          <w:szCs w:val="22"/>
        </w:rPr>
        <w:t>, Palgrave Macmillan, Basingstoke, UK</w:t>
      </w:r>
    </w:p>
    <w:p w:rsidR="002F3898" w:rsidRDefault="002F3898" w:rsidP="002F3898">
      <w:pPr>
        <w:spacing w:after="180"/>
        <w:rPr>
          <w:szCs w:val="22"/>
        </w:rPr>
      </w:pPr>
      <w:r w:rsidRPr="002F3898">
        <w:rPr>
          <w:szCs w:val="22"/>
        </w:rPr>
        <w:t xml:space="preserve">Foster, C. &amp; Heeks, R. (2010) Researching ICT micro-enterprise in developing countries, </w:t>
      </w:r>
      <w:r w:rsidRPr="002F3898">
        <w:rPr>
          <w:i/>
          <w:iCs/>
          <w:szCs w:val="22"/>
        </w:rPr>
        <w:t>The Electronic Journal of Information Systems in Developing Countries</w:t>
      </w:r>
      <w:r w:rsidRPr="002F3898">
        <w:rPr>
          <w:szCs w:val="22"/>
        </w:rPr>
        <w:t>, 43(7), 1-20</w:t>
      </w:r>
    </w:p>
    <w:p w:rsidR="002F3898" w:rsidRDefault="002F3898" w:rsidP="002F3898">
      <w:pPr>
        <w:spacing w:after="180"/>
        <w:rPr>
          <w:szCs w:val="22"/>
        </w:rPr>
      </w:pPr>
      <w:r w:rsidRPr="002F3898">
        <w:rPr>
          <w:szCs w:val="22"/>
        </w:rPr>
        <w:t xml:space="preserve">Graham, M., Foster, C., Friederici, N. &amp; Hjorth, I. (eds) (forthcoming) </w:t>
      </w:r>
      <w:r w:rsidRPr="002F3898">
        <w:rPr>
          <w:i/>
          <w:szCs w:val="22"/>
        </w:rPr>
        <w:t>Digital Economies at Global Margins</w:t>
      </w:r>
      <w:r w:rsidRPr="002F3898">
        <w:rPr>
          <w:szCs w:val="22"/>
        </w:rPr>
        <w:t>, MIT Press, Cambridge, MA</w:t>
      </w:r>
    </w:p>
    <w:p w:rsidR="002F3898" w:rsidRDefault="002F3898" w:rsidP="002F3898">
      <w:pPr>
        <w:spacing w:after="180"/>
        <w:rPr>
          <w:szCs w:val="22"/>
        </w:rPr>
      </w:pPr>
      <w:r w:rsidRPr="002F3898">
        <w:rPr>
          <w:szCs w:val="22"/>
        </w:rPr>
        <w:t xml:space="preserve">Gregory, L. (2016) Work, labour and play in the digital economy, paper presented at </w:t>
      </w:r>
      <w:r w:rsidRPr="002F3898">
        <w:rPr>
          <w:i/>
          <w:szCs w:val="22"/>
        </w:rPr>
        <w:t>Digital Being</w:t>
      </w:r>
      <w:r w:rsidRPr="002F3898">
        <w:rPr>
          <w:szCs w:val="22"/>
        </w:rPr>
        <w:t xml:space="preserve"> workshop, Manchester, UK, 6 Jul</w:t>
      </w:r>
    </w:p>
    <w:p w:rsidR="002F3898" w:rsidRDefault="002F3898" w:rsidP="002F3898">
      <w:pPr>
        <w:spacing w:after="180"/>
        <w:rPr>
          <w:szCs w:val="22"/>
        </w:rPr>
      </w:pPr>
      <w:r w:rsidRPr="002F3898">
        <w:rPr>
          <w:szCs w:val="22"/>
        </w:rPr>
        <w:t xml:space="preserve">Hanna, N.K. (2010) </w:t>
      </w:r>
      <w:r w:rsidRPr="002F3898">
        <w:rPr>
          <w:i/>
          <w:szCs w:val="22"/>
        </w:rPr>
        <w:t>e-Transformation: Enabling New Development Strategies</w:t>
      </w:r>
      <w:r w:rsidRPr="002F3898">
        <w:rPr>
          <w:szCs w:val="22"/>
        </w:rPr>
        <w:t>, Springer, New York, NY</w:t>
      </w:r>
    </w:p>
    <w:p w:rsidR="002F3898" w:rsidRDefault="002F3898" w:rsidP="002F3898">
      <w:pPr>
        <w:spacing w:after="180"/>
        <w:rPr>
          <w:szCs w:val="22"/>
        </w:rPr>
      </w:pPr>
      <w:r w:rsidRPr="002F3898">
        <w:rPr>
          <w:szCs w:val="22"/>
        </w:rPr>
        <w:t xml:space="preserve">Heeks, R. (2014) </w:t>
      </w:r>
      <w:r w:rsidRPr="002F3898">
        <w:rPr>
          <w:i/>
          <w:szCs w:val="22"/>
        </w:rPr>
        <w:t>Digital Development</w:t>
      </w:r>
      <w:r w:rsidRPr="002F3898">
        <w:rPr>
          <w:szCs w:val="22"/>
        </w:rPr>
        <w:t>, UN Commission on Science and Technology for Development, Geneva</w:t>
      </w:r>
    </w:p>
    <w:p w:rsidR="002F3898" w:rsidRDefault="002F3898" w:rsidP="002F3898">
      <w:pPr>
        <w:spacing w:after="180"/>
        <w:rPr>
          <w:szCs w:val="22"/>
        </w:rPr>
      </w:pPr>
      <w:r w:rsidRPr="002F3898">
        <w:rPr>
          <w:szCs w:val="22"/>
        </w:rPr>
        <w:t xml:space="preserve">Heeks, R. (forthcoming) </w:t>
      </w:r>
      <w:r w:rsidRPr="002F3898">
        <w:rPr>
          <w:i/>
          <w:szCs w:val="22"/>
        </w:rPr>
        <w:t>Information and Communication Technology for Development</w:t>
      </w:r>
      <w:r w:rsidRPr="002F3898">
        <w:rPr>
          <w:szCs w:val="22"/>
        </w:rPr>
        <w:t>, Routledge, London</w:t>
      </w:r>
    </w:p>
    <w:p w:rsidR="002F3898" w:rsidRDefault="002F3898" w:rsidP="002F3898">
      <w:pPr>
        <w:spacing w:after="180"/>
        <w:rPr>
          <w:szCs w:val="22"/>
        </w:rPr>
      </w:pPr>
      <w:r w:rsidRPr="002F3898">
        <w:rPr>
          <w:szCs w:val="22"/>
        </w:rPr>
        <w:t xml:space="preserve">Hulme, D. (2016) </w:t>
      </w:r>
      <w:r w:rsidRPr="002F3898">
        <w:rPr>
          <w:i/>
          <w:szCs w:val="22"/>
        </w:rPr>
        <w:t>Should Rich Nations Help the Poor?</w:t>
      </w:r>
      <w:r w:rsidRPr="002F3898">
        <w:rPr>
          <w:szCs w:val="22"/>
        </w:rPr>
        <w:t>, Polity Press, Cambridge, UK</w:t>
      </w:r>
    </w:p>
    <w:p w:rsidR="002F3898" w:rsidRDefault="002F3898" w:rsidP="002F3898">
      <w:pPr>
        <w:spacing w:after="180"/>
        <w:rPr>
          <w:szCs w:val="22"/>
        </w:rPr>
      </w:pPr>
      <w:r w:rsidRPr="002F3898">
        <w:rPr>
          <w:szCs w:val="22"/>
        </w:rPr>
        <w:t xml:space="preserve">Lehdonvirta, V. (2016) Global online labour markets: theoretical perspectives and initial findings, paper presented at </w:t>
      </w:r>
      <w:r w:rsidRPr="002F3898">
        <w:rPr>
          <w:i/>
          <w:szCs w:val="22"/>
        </w:rPr>
        <w:t>3rd ISA Forum of Sociology</w:t>
      </w:r>
      <w:r w:rsidRPr="002F3898">
        <w:rPr>
          <w:szCs w:val="22"/>
        </w:rPr>
        <w:t>, Vienna, 10-14 Jul</w:t>
      </w:r>
    </w:p>
    <w:p w:rsidR="002F3898" w:rsidRDefault="002F3898" w:rsidP="002F3898">
      <w:pPr>
        <w:spacing w:after="180"/>
        <w:rPr>
          <w:szCs w:val="22"/>
        </w:rPr>
      </w:pPr>
      <w:r w:rsidRPr="002F3898">
        <w:rPr>
          <w:szCs w:val="22"/>
        </w:rPr>
        <w:t xml:space="preserve">Martin, D. (2016) Socio-digital practices of collective action in online labour platforms, paper presented at </w:t>
      </w:r>
      <w:r w:rsidRPr="002F3898">
        <w:rPr>
          <w:i/>
          <w:szCs w:val="22"/>
        </w:rPr>
        <w:t>Connected Life</w:t>
      </w:r>
      <w:r w:rsidRPr="002F3898">
        <w:rPr>
          <w:szCs w:val="22"/>
        </w:rPr>
        <w:t xml:space="preserve"> conference, Oxford, UK, 20-21 Jun</w:t>
      </w:r>
    </w:p>
    <w:p w:rsidR="002F3898" w:rsidRDefault="002F3898" w:rsidP="002F3898">
      <w:pPr>
        <w:spacing w:after="180"/>
        <w:rPr>
          <w:szCs w:val="22"/>
        </w:rPr>
      </w:pPr>
      <w:r w:rsidRPr="002F3898">
        <w:rPr>
          <w:szCs w:val="22"/>
        </w:rPr>
        <w:t xml:space="preserve">MGI (2016) </w:t>
      </w:r>
      <w:r w:rsidRPr="002F3898">
        <w:rPr>
          <w:i/>
          <w:szCs w:val="22"/>
        </w:rPr>
        <w:t>Digital Globalization</w:t>
      </w:r>
      <w:r w:rsidRPr="002F3898">
        <w:rPr>
          <w:szCs w:val="22"/>
        </w:rPr>
        <w:t>, McKinsey Global Institute, San Francisco, CA</w:t>
      </w:r>
    </w:p>
    <w:p w:rsidR="002F3898" w:rsidRDefault="002F3898" w:rsidP="002F3898">
      <w:pPr>
        <w:spacing w:after="180"/>
        <w:rPr>
          <w:szCs w:val="22"/>
        </w:rPr>
      </w:pPr>
      <w:r w:rsidRPr="002F3898">
        <w:rPr>
          <w:szCs w:val="22"/>
        </w:rPr>
        <w:t xml:space="preserve">Murphy, J.T. &amp; Carmody, P. (2015) </w:t>
      </w:r>
      <w:r w:rsidRPr="002F3898">
        <w:rPr>
          <w:i/>
          <w:szCs w:val="22"/>
        </w:rPr>
        <w:t>Africa’s Information Revolution</w:t>
      </w:r>
      <w:r w:rsidRPr="002F3898">
        <w:rPr>
          <w:szCs w:val="22"/>
        </w:rPr>
        <w:t>, John Wiley, Chichester, UK</w:t>
      </w:r>
    </w:p>
    <w:p w:rsidR="002F3898" w:rsidRDefault="002F3898" w:rsidP="002F3898">
      <w:pPr>
        <w:spacing w:after="180"/>
        <w:rPr>
          <w:szCs w:val="22"/>
        </w:rPr>
      </w:pPr>
      <w:r w:rsidRPr="002F3898">
        <w:rPr>
          <w:szCs w:val="22"/>
        </w:rPr>
        <w:t xml:space="preserve">Nandi, R. (2014) Decent work and low-end IT occupation workers in Delhi, </w:t>
      </w:r>
      <w:r w:rsidRPr="002F3898">
        <w:rPr>
          <w:i/>
          <w:szCs w:val="22"/>
        </w:rPr>
        <w:t>The Journal of Social Science and Humanity Research</w:t>
      </w:r>
      <w:r w:rsidRPr="002F3898">
        <w:rPr>
          <w:szCs w:val="22"/>
        </w:rPr>
        <w:t>, 2(1), 9-23</w:t>
      </w:r>
    </w:p>
    <w:p w:rsidR="002F3898" w:rsidRDefault="002F3898" w:rsidP="002F3898">
      <w:pPr>
        <w:spacing w:after="180"/>
        <w:rPr>
          <w:szCs w:val="22"/>
        </w:rPr>
      </w:pPr>
      <w:r w:rsidRPr="002F3898">
        <w:rPr>
          <w:szCs w:val="22"/>
        </w:rPr>
        <w:t xml:space="preserve">OECD (2015) </w:t>
      </w:r>
      <w:r w:rsidRPr="002F3898">
        <w:rPr>
          <w:i/>
          <w:szCs w:val="22"/>
        </w:rPr>
        <w:t>Digital Economy Outlook 2015</w:t>
      </w:r>
      <w:r w:rsidRPr="002F3898">
        <w:rPr>
          <w:szCs w:val="22"/>
        </w:rPr>
        <w:t>, OECD, Paris</w:t>
      </w:r>
    </w:p>
    <w:p w:rsidR="002F3898" w:rsidRDefault="002F3898" w:rsidP="002F3898">
      <w:pPr>
        <w:spacing w:after="180"/>
        <w:rPr>
          <w:szCs w:val="22"/>
        </w:rPr>
      </w:pPr>
      <w:r w:rsidRPr="002F3898">
        <w:rPr>
          <w:szCs w:val="22"/>
        </w:rPr>
        <w:t>Quinones, G., Nicholson, B. &amp; Heeks, R. (2015) A literature review of e-entrepreneurship in emerging economies, in: </w:t>
      </w:r>
      <w:r w:rsidRPr="002F3898">
        <w:rPr>
          <w:i/>
          <w:iCs/>
          <w:szCs w:val="22"/>
        </w:rPr>
        <w:t>Entrepreneurship in BRICS</w:t>
      </w:r>
      <w:r w:rsidRPr="002F3898">
        <w:rPr>
          <w:iCs/>
          <w:szCs w:val="22"/>
        </w:rPr>
        <w:t>, R.L.L. Rovere, L.D.M. Ozorio &amp; L.D.J. Melo (eds), Springer, New York, NY,</w:t>
      </w:r>
      <w:r w:rsidRPr="002F3898">
        <w:rPr>
          <w:szCs w:val="22"/>
        </w:rPr>
        <w:t xml:space="preserve"> 179-208</w:t>
      </w:r>
    </w:p>
    <w:p w:rsidR="002F3898" w:rsidRDefault="002F3898" w:rsidP="002F3898">
      <w:pPr>
        <w:spacing w:after="180"/>
        <w:rPr>
          <w:szCs w:val="22"/>
        </w:rPr>
      </w:pPr>
      <w:r w:rsidRPr="002F3898">
        <w:rPr>
          <w:szCs w:val="22"/>
        </w:rPr>
        <w:t xml:space="preserve">Rogers, R. (2013) </w:t>
      </w:r>
      <w:r w:rsidRPr="002F3898">
        <w:rPr>
          <w:i/>
          <w:szCs w:val="22"/>
        </w:rPr>
        <w:t>Digital Methods</w:t>
      </w:r>
      <w:r w:rsidRPr="002F3898">
        <w:rPr>
          <w:szCs w:val="22"/>
        </w:rPr>
        <w:t>, MIT Press, Cambridge, MA</w:t>
      </w:r>
    </w:p>
    <w:p w:rsidR="002F3898" w:rsidRDefault="002F3898" w:rsidP="002F3898">
      <w:pPr>
        <w:spacing w:after="180"/>
        <w:rPr>
          <w:szCs w:val="22"/>
        </w:rPr>
      </w:pPr>
      <w:r w:rsidRPr="002F3898">
        <w:rPr>
          <w:szCs w:val="22"/>
        </w:rPr>
        <w:t xml:space="preserve">Scholz, T. (ed) (2013) </w:t>
      </w:r>
      <w:r w:rsidRPr="002F3898">
        <w:rPr>
          <w:i/>
          <w:szCs w:val="22"/>
        </w:rPr>
        <w:t>Digital Labor</w:t>
      </w:r>
      <w:r w:rsidRPr="002F3898">
        <w:rPr>
          <w:szCs w:val="22"/>
        </w:rPr>
        <w:t>, Routledge, New York, NY</w:t>
      </w:r>
    </w:p>
    <w:p w:rsidR="002F3898" w:rsidRDefault="002F3898" w:rsidP="002F3898">
      <w:pPr>
        <w:spacing w:after="180"/>
        <w:rPr>
          <w:szCs w:val="22"/>
        </w:rPr>
      </w:pPr>
      <w:r w:rsidRPr="002F3898">
        <w:rPr>
          <w:szCs w:val="22"/>
        </w:rPr>
        <w:t xml:space="preserve">World Bank (2015) </w:t>
      </w:r>
      <w:r w:rsidRPr="002F3898">
        <w:rPr>
          <w:i/>
          <w:szCs w:val="22"/>
        </w:rPr>
        <w:t>The Global Opportunity in Online Outsourcing</w:t>
      </w:r>
      <w:r w:rsidRPr="002F3898">
        <w:rPr>
          <w:szCs w:val="22"/>
        </w:rPr>
        <w:t>, World Bank, Washington, DC</w:t>
      </w:r>
    </w:p>
    <w:p w:rsidR="002F3898" w:rsidRPr="002F3898" w:rsidRDefault="002F3898" w:rsidP="002F3898">
      <w:pPr>
        <w:spacing w:after="180"/>
      </w:pPr>
      <w:r w:rsidRPr="002F3898">
        <w:rPr>
          <w:szCs w:val="22"/>
        </w:rPr>
        <w:t xml:space="preserve">World Bank (2016) </w:t>
      </w:r>
      <w:r w:rsidRPr="002F3898">
        <w:rPr>
          <w:i/>
          <w:szCs w:val="22"/>
        </w:rPr>
        <w:t>Digital Dividends</w:t>
      </w:r>
      <w:r w:rsidRPr="002F3898">
        <w:rPr>
          <w:szCs w:val="22"/>
        </w:rPr>
        <w:t>, World Bank, Washington, DC</w:t>
      </w:r>
    </w:p>
    <w:sectPr w:rsidR="002F3898" w:rsidRPr="002F3898" w:rsidSect="007E32D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A122AD"/>
    <w:multiLevelType w:val="hybridMultilevel"/>
    <w:tmpl w:val="EA404372"/>
    <w:lvl w:ilvl="0" w:tplc="8E0A899E">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6F4613A9"/>
    <w:multiLevelType w:val="hybridMultilevel"/>
    <w:tmpl w:val="CC1ABF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savePreviewPicture/>
  <w:compat/>
  <w:rsids>
    <w:rsidRoot w:val="002F3898"/>
    <w:rsid w:val="001D1BD9"/>
    <w:rsid w:val="002F3898"/>
    <w:rsid w:val="004E364B"/>
    <w:rsid w:val="00525EA4"/>
    <w:rsid w:val="007E32D8"/>
    <w:rsid w:val="00843FCD"/>
    <w:rsid w:val="00873F5D"/>
    <w:rsid w:val="00A1349E"/>
    <w:rsid w:val="00B14C85"/>
    <w:rsid w:val="00B22EA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898"/>
    <w:pPr>
      <w:spacing w:after="0" w:line="240" w:lineRule="auto"/>
    </w:pPr>
    <w:rPr>
      <w:rFonts w:eastAsia="Times New Roman" w:cs="Times New Roman"/>
      <w:szCs w:val="24"/>
      <w:lang w:eastAsia="en-GB"/>
    </w:rPr>
  </w:style>
  <w:style w:type="paragraph" w:styleId="Heading1">
    <w:name w:val="heading 1"/>
    <w:basedOn w:val="Normal"/>
    <w:next w:val="Normal"/>
    <w:link w:val="Heading1Char"/>
    <w:uiPriority w:val="9"/>
    <w:qFormat/>
    <w:rsid w:val="001D1BD9"/>
    <w:pPr>
      <w:keepNext/>
      <w:keepLines/>
      <w:jc w:val="center"/>
      <w:outlineLvl w:val="0"/>
    </w:pPr>
    <w:rPr>
      <w:rFonts w:eastAsiaTheme="majorEastAsia" w:cstheme="majorBidi"/>
      <w:b/>
      <w:bCs/>
      <w:smallCaps/>
      <w:sz w:val="48"/>
      <w:szCs w:val="28"/>
    </w:rPr>
  </w:style>
  <w:style w:type="paragraph" w:styleId="Heading2">
    <w:name w:val="heading 2"/>
    <w:basedOn w:val="Normal"/>
    <w:next w:val="Normal"/>
    <w:link w:val="Heading2Char"/>
    <w:uiPriority w:val="9"/>
    <w:unhideWhenUsed/>
    <w:qFormat/>
    <w:rsid w:val="001D1BD9"/>
    <w:pPr>
      <w:keepNext/>
      <w:keepLines/>
      <w:outlineLvl w:val="1"/>
    </w:pPr>
    <w:rPr>
      <w:rFonts w:ascii="Calibri" w:eastAsiaTheme="majorEastAsia" w:hAnsi="Calibri" w:cstheme="majorBidi"/>
      <w:b/>
      <w:bCs/>
      <w:sz w:val="36"/>
      <w:szCs w:val="26"/>
    </w:rPr>
  </w:style>
  <w:style w:type="paragraph" w:styleId="Heading3">
    <w:name w:val="heading 3"/>
    <w:basedOn w:val="Normal"/>
    <w:next w:val="Normal"/>
    <w:link w:val="Heading3Char"/>
    <w:uiPriority w:val="9"/>
    <w:unhideWhenUsed/>
    <w:qFormat/>
    <w:rsid w:val="001D1BD9"/>
    <w:pPr>
      <w:keepNext/>
      <w:keepLines/>
      <w:outlineLvl w:val="2"/>
    </w:pPr>
    <w:rPr>
      <w:rFonts w:ascii="Calibri" w:eastAsiaTheme="majorEastAsia" w:hAnsi="Calibri" w:cstheme="majorBidi"/>
      <w:b/>
      <w:bCs/>
      <w:sz w:val="28"/>
    </w:rPr>
  </w:style>
  <w:style w:type="paragraph" w:styleId="Heading4">
    <w:name w:val="heading 4"/>
    <w:basedOn w:val="Normal"/>
    <w:next w:val="Normal"/>
    <w:link w:val="Heading4Char"/>
    <w:uiPriority w:val="9"/>
    <w:unhideWhenUsed/>
    <w:qFormat/>
    <w:rsid w:val="00A1349E"/>
    <w:pPr>
      <w:keepNext/>
      <w:keepLines/>
      <w:outlineLvl w:val="3"/>
    </w:pPr>
    <w:rPr>
      <w:rFonts w:ascii="Calibri" w:eastAsiaTheme="majorEastAsia" w:hAnsi="Calibri" w:cstheme="majorBidi"/>
      <w:b/>
      <w:bCs/>
      <w:iCs/>
    </w:rPr>
  </w:style>
  <w:style w:type="paragraph" w:styleId="Heading5">
    <w:name w:val="heading 5"/>
    <w:basedOn w:val="Normal"/>
    <w:next w:val="Normal"/>
    <w:link w:val="Heading5Char"/>
    <w:uiPriority w:val="9"/>
    <w:unhideWhenUsed/>
    <w:qFormat/>
    <w:rsid w:val="00843FCD"/>
    <w:pPr>
      <w:keepNext/>
      <w:keepLines/>
      <w:outlineLvl w:val="4"/>
    </w:pPr>
    <w:rPr>
      <w:rFonts w:eastAsiaTheme="majorEastAsia" w:cstheme="majorBidi"/>
      <w:b/>
      <w:i/>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1BD9"/>
    <w:rPr>
      <w:rFonts w:eastAsiaTheme="majorEastAsia" w:cstheme="majorBidi"/>
      <w:b/>
      <w:bCs/>
      <w:smallCaps/>
      <w:sz w:val="48"/>
      <w:szCs w:val="28"/>
    </w:rPr>
  </w:style>
  <w:style w:type="character" w:customStyle="1" w:styleId="Heading2Char">
    <w:name w:val="Heading 2 Char"/>
    <w:basedOn w:val="DefaultParagraphFont"/>
    <w:link w:val="Heading2"/>
    <w:uiPriority w:val="9"/>
    <w:rsid w:val="001D1BD9"/>
    <w:rPr>
      <w:rFonts w:ascii="Calibri" w:eastAsiaTheme="majorEastAsia" w:hAnsi="Calibri" w:cstheme="majorBidi"/>
      <w:b/>
      <w:bCs/>
      <w:sz w:val="36"/>
      <w:szCs w:val="26"/>
    </w:rPr>
  </w:style>
  <w:style w:type="character" w:customStyle="1" w:styleId="Heading3Char">
    <w:name w:val="Heading 3 Char"/>
    <w:basedOn w:val="DefaultParagraphFont"/>
    <w:link w:val="Heading3"/>
    <w:uiPriority w:val="9"/>
    <w:rsid w:val="001D1BD9"/>
    <w:rPr>
      <w:rFonts w:ascii="Calibri" w:eastAsiaTheme="majorEastAsia" w:hAnsi="Calibri" w:cstheme="majorBidi"/>
      <w:b/>
      <w:bCs/>
      <w:sz w:val="28"/>
    </w:rPr>
  </w:style>
  <w:style w:type="character" w:customStyle="1" w:styleId="Heading4Char">
    <w:name w:val="Heading 4 Char"/>
    <w:basedOn w:val="DefaultParagraphFont"/>
    <w:link w:val="Heading4"/>
    <w:uiPriority w:val="9"/>
    <w:rsid w:val="00A1349E"/>
    <w:rPr>
      <w:rFonts w:ascii="Calibri" w:eastAsiaTheme="majorEastAsia" w:hAnsi="Calibri" w:cstheme="majorBidi"/>
      <w:b/>
      <w:bCs/>
      <w:iCs/>
    </w:rPr>
  </w:style>
  <w:style w:type="character" w:customStyle="1" w:styleId="Heading5Char">
    <w:name w:val="Heading 5 Char"/>
    <w:basedOn w:val="DefaultParagraphFont"/>
    <w:link w:val="Heading5"/>
    <w:uiPriority w:val="9"/>
    <w:rsid w:val="00843FCD"/>
    <w:rPr>
      <w:rFonts w:eastAsiaTheme="majorEastAsia" w:cstheme="majorBidi"/>
      <w:b/>
      <w:i/>
    </w:rPr>
  </w:style>
  <w:style w:type="table" w:styleId="TableGrid">
    <w:name w:val="Table Grid"/>
    <w:basedOn w:val="TableNormal"/>
    <w:rsid w:val="00B14C85"/>
    <w:pPr>
      <w:spacing w:after="0" w:line="240" w:lineRule="auto"/>
    </w:pPr>
    <w:rPr>
      <w:rFonts w:eastAsia="Times New Roman" w:cs="Times New Roman"/>
      <w:sz w:val="24"/>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F3898"/>
    <w:pPr>
      <w:ind w:left="720"/>
      <w:contextualSpacing/>
    </w:pPr>
  </w:style>
  <w:style w:type="paragraph" w:styleId="DocumentMap">
    <w:name w:val="Document Map"/>
    <w:basedOn w:val="Normal"/>
    <w:link w:val="DocumentMapChar"/>
    <w:uiPriority w:val="99"/>
    <w:semiHidden/>
    <w:unhideWhenUsed/>
    <w:rsid w:val="002F3898"/>
    <w:rPr>
      <w:rFonts w:ascii="Tahoma" w:hAnsi="Tahoma" w:cs="Tahoma"/>
      <w:sz w:val="16"/>
      <w:szCs w:val="16"/>
    </w:rPr>
  </w:style>
  <w:style w:type="character" w:customStyle="1" w:styleId="DocumentMapChar">
    <w:name w:val="Document Map Char"/>
    <w:basedOn w:val="DefaultParagraphFont"/>
    <w:link w:val="DocumentMap"/>
    <w:uiPriority w:val="99"/>
    <w:semiHidden/>
    <w:rsid w:val="002F3898"/>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1496</Words>
  <Characters>8533</Characters>
  <Application>Microsoft Office Word</Application>
  <DocSecurity>0</DocSecurity>
  <Lines>71</Lines>
  <Paragraphs>20</Paragraphs>
  <ScaleCrop>false</ScaleCrop>
  <Company/>
  <LinksUpToDate>false</LinksUpToDate>
  <CharactersWithSpaces>10009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Richard Heeks</dc:creator>
  <cp:lastModifiedBy>Prof. Richard Heeks</cp:lastModifiedBy>
  <cp:revision>1</cp:revision>
  <dcterms:created xsi:type="dcterms:W3CDTF">2017-03-17T18:56:00Z</dcterms:created>
  <dcterms:modified xsi:type="dcterms:W3CDTF">2017-03-17T19:01:00Z</dcterms:modified>
</cp:coreProperties>
</file>